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Bitter Black" w:cs="Bitter Black" w:eastAsia="Bitter Black" w:hAnsi="Bitter Black"/>
          <w:sz w:val="24"/>
          <w:szCs w:val="24"/>
        </w:rPr>
      </w:pPr>
      <w:r w:rsidDel="00000000" w:rsidR="00000000" w:rsidRPr="00000000">
        <w:rPr>
          <w:rFonts w:ascii="Bitter Black" w:cs="Bitter Black" w:eastAsia="Bitter Black" w:hAnsi="Bitter Black"/>
          <w:sz w:val="24"/>
          <w:szCs w:val="24"/>
          <w:rtl w:val="0"/>
        </w:rPr>
        <w:t xml:space="preserve">“MITÄ TEHTÄIS? – SIKA PESTÄIS!”</w:t>
      </w:r>
    </w:p>
    <w:p w:rsidR="00000000" w:rsidDel="00000000" w:rsidP="00000000" w:rsidRDefault="00000000" w:rsidRPr="00000000" w14:paraId="00000002">
      <w:pPr>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03">
      <w:pPr>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04">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Jokainen harrastuskerta on suunniteltava hyvin etukäteen. Tuntisuunnitteluun tarvitset avuksi</w:t>
      </w:r>
    </w:p>
    <w:p w:rsidR="00000000" w:rsidDel="00000000" w:rsidP="00000000" w:rsidRDefault="00000000" w:rsidRPr="00000000" w14:paraId="00000005">
      <w:pPr>
        <w:numPr>
          <w:ilvl w:val="0"/>
          <w:numId w:val="2"/>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ryhmän tavoitteenasettelun</w:t>
      </w:r>
    </w:p>
    <w:p w:rsidR="00000000" w:rsidDel="00000000" w:rsidP="00000000" w:rsidRDefault="00000000" w:rsidRPr="00000000" w14:paraId="00000006">
      <w:pPr>
        <w:numPr>
          <w:ilvl w:val="0"/>
          <w:numId w:val="2"/>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ryhmän vuosisuunnitelman</w:t>
      </w:r>
    </w:p>
    <w:p w:rsidR="00000000" w:rsidDel="00000000" w:rsidP="00000000" w:rsidRDefault="00000000" w:rsidRPr="00000000" w14:paraId="00000007">
      <w:pPr>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08">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Jokaisella kerralla osallistujilla pitäisi olla niin mukavaa, että he haluavat tulla seuraavalla viikolla uudestaan. Harrastusryhmiä järjestetään lapsia, ei ohjaajaa, huoltajia tai nuorisoseuraa varten.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sz w:val="22"/>
          <w:szCs w:val="22"/>
          <w:rtl w:val="0"/>
        </w:rPr>
        <w:t xml:space="preserve">Toiminta</w:t>
      </w:r>
      <w:r w:rsidDel="00000000" w:rsidR="00000000" w:rsidRPr="00000000">
        <w:rPr>
          <w:rFonts w:ascii="Roboto Light" w:cs="Roboto Light" w:eastAsia="Roboto Light" w:hAnsi="Roboto Light"/>
          <w:b w:val="0"/>
          <w:i w:val="0"/>
          <w:smallCaps w:val="0"/>
          <w:strike w:val="0"/>
          <w:color w:val="000000"/>
          <w:sz w:val="22"/>
          <w:szCs w:val="22"/>
          <w:u w:val="none"/>
          <w:shd w:fill="auto" w:val="clear"/>
          <w:vertAlign w:val="baseline"/>
          <w:rtl w:val="0"/>
        </w:rPr>
        <w:t xml:space="preserve">kerroille on hyvä rakentaa perusrunko, jota noudatetaan kerrasta toiseen. Silloin lapset kokevat </w:t>
      </w:r>
      <w:r w:rsidDel="00000000" w:rsidR="00000000" w:rsidRPr="00000000">
        <w:rPr>
          <w:rFonts w:ascii="Roboto Light" w:cs="Roboto Light" w:eastAsia="Roboto Light" w:hAnsi="Roboto Light"/>
          <w:sz w:val="22"/>
          <w:szCs w:val="22"/>
          <w:rtl w:val="0"/>
        </w:rPr>
        <w:t xml:space="preserve">toiminnan</w:t>
      </w:r>
      <w:r w:rsidDel="00000000" w:rsidR="00000000" w:rsidRPr="00000000">
        <w:rPr>
          <w:rFonts w:ascii="Roboto Light" w:cs="Roboto Light" w:eastAsia="Roboto Light" w:hAnsi="Roboto Light"/>
          <w:b w:val="0"/>
          <w:i w:val="0"/>
          <w:smallCaps w:val="0"/>
          <w:strike w:val="0"/>
          <w:color w:val="000000"/>
          <w:sz w:val="22"/>
          <w:szCs w:val="22"/>
          <w:u w:val="none"/>
          <w:shd w:fill="auto" w:val="clear"/>
          <w:vertAlign w:val="baseline"/>
          <w:rtl w:val="0"/>
        </w:rPr>
        <w:t xml:space="preserve"> tutuksi ja turvalliseksi. Rungosta voi tietenkin tapauskohtaisesti myös poiketa, jos asia niin vaatii. Oppimisen kannalta hyvä perusrunko on esimerkiksi: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numPr>
          <w:ilvl w:val="0"/>
          <w:numId w:val="3"/>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Nimenhuuto</w:t>
      </w:r>
    </w:p>
    <w:p w:rsidR="00000000" w:rsidDel="00000000" w:rsidP="00000000" w:rsidRDefault="00000000" w:rsidRPr="00000000" w14:paraId="0000000D">
      <w:pPr>
        <w:numPr>
          <w:ilvl w:val="0"/>
          <w:numId w:val="3"/>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Aloitusleikki, johdattelee teemaan</w:t>
      </w:r>
    </w:p>
    <w:p w:rsidR="00000000" w:rsidDel="00000000" w:rsidP="00000000" w:rsidRDefault="00000000" w:rsidRPr="00000000" w14:paraId="0000000E">
      <w:pPr>
        <w:numPr>
          <w:ilvl w:val="0"/>
          <w:numId w:val="3"/>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Uudet opeteltavat asiat, tarpeeksi vähän yhdellä kerralla</w:t>
      </w:r>
    </w:p>
    <w:p w:rsidR="00000000" w:rsidDel="00000000" w:rsidP="00000000" w:rsidRDefault="00000000" w:rsidRPr="00000000" w14:paraId="0000000F">
      <w:pPr>
        <w:numPr>
          <w:ilvl w:val="0"/>
          <w:numId w:val="3"/>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Harjoittelua</w:t>
      </w:r>
    </w:p>
    <w:p w:rsidR="00000000" w:rsidDel="00000000" w:rsidP="00000000" w:rsidRDefault="00000000" w:rsidRPr="00000000" w14:paraId="00000010">
      <w:pPr>
        <w:numPr>
          <w:ilvl w:val="0"/>
          <w:numId w:val="3"/>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Vanhoja asioita</w:t>
      </w:r>
    </w:p>
    <w:p w:rsidR="00000000" w:rsidDel="00000000" w:rsidP="00000000" w:rsidRDefault="00000000" w:rsidRPr="00000000" w14:paraId="00000011">
      <w:pPr>
        <w:numPr>
          <w:ilvl w:val="0"/>
          <w:numId w:val="3"/>
        </w:numPr>
        <w:ind w:left="360" w:hanging="360"/>
        <w:jc w:val="both"/>
        <w:rPr>
          <w:rFonts w:ascii="Roboto Light" w:cs="Roboto Light" w:eastAsia="Roboto Light" w:hAnsi="Roboto Light"/>
          <w:sz w:val="22"/>
          <w:szCs w:val="22"/>
        </w:rPr>
      </w:pPr>
      <w:bookmarkStart w:colFirst="0" w:colLast="0" w:name="_heading=h.gjdgxs" w:id="0"/>
      <w:bookmarkEnd w:id="0"/>
      <w:r w:rsidDel="00000000" w:rsidR="00000000" w:rsidRPr="00000000">
        <w:rPr>
          <w:rFonts w:ascii="Roboto Light" w:cs="Roboto Light" w:eastAsia="Roboto Light" w:hAnsi="Roboto Light"/>
          <w:sz w:val="22"/>
          <w:szCs w:val="22"/>
          <w:rtl w:val="0"/>
        </w:rPr>
        <w:t xml:space="preserve">Loppuleikki tai -laulu</w:t>
      </w:r>
    </w:p>
    <w:p w:rsidR="00000000" w:rsidDel="00000000" w:rsidP="00000000" w:rsidRDefault="00000000" w:rsidRPr="00000000" w14:paraId="00000012">
      <w:pPr>
        <w:ind w:left="360" w:firstLine="0"/>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13">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Leikit ovat hyviä välipaloja vähän joka välissä. Ryhmäläiset jaksavat keskittyä paremmin pienissä pätkissä. Varaa leikkejä ja muuta toimintaa niin paljon, että tekeminen ei varmasti lopu kesken. Mieti valmiiksi, mitkä ovat ryhmän tavoitteiden kannalta tärkeimpiä asioita, mitä siis ensisijaisesti ryhmässä tehdään. Lopun voit improvisoida!</w:t>
      </w:r>
    </w:p>
    <w:p w:rsidR="00000000" w:rsidDel="00000000" w:rsidP="00000000" w:rsidRDefault="00000000" w:rsidRPr="00000000" w14:paraId="00000014">
      <w:pPr>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15">
      <w:pPr>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16">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Harrastuskertaa suunnitellessasi päätät</w:t>
      </w:r>
    </w:p>
    <w:p w:rsidR="00000000" w:rsidDel="00000000" w:rsidP="00000000" w:rsidRDefault="00000000" w:rsidRPr="00000000" w14:paraId="00000017">
      <w:pPr>
        <w:numPr>
          <w:ilvl w:val="0"/>
          <w:numId w:val="1"/>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mitä tehdään ja miten kauan (sisältö)</w:t>
      </w:r>
    </w:p>
    <w:p w:rsidR="00000000" w:rsidDel="00000000" w:rsidP="00000000" w:rsidRDefault="00000000" w:rsidRPr="00000000" w14:paraId="00000018">
      <w:pPr>
        <w:numPr>
          <w:ilvl w:val="0"/>
          <w:numId w:val="1"/>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miten toteutetaan (menetelmät)</w:t>
      </w:r>
    </w:p>
    <w:p w:rsidR="00000000" w:rsidDel="00000000" w:rsidP="00000000" w:rsidRDefault="00000000" w:rsidRPr="00000000" w14:paraId="00000019">
      <w:pPr>
        <w:numPr>
          <w:ilvl w:val="0"/>
          <w:numId w:val="1"/>
        </w:numPr>
        <w:ind w:left="36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mitä materiaalia tarvitaan (välineet)</w:t>
      </w:r>
    </w:p>
    <w:p w:rsidR="00000000" w:rsidDel="00000000" w:rsidP="00000000" w:rsidRDefault="00000000" w:rsidRPr="00000000" w14:paraId="0000001A">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Pääasiassa on aina oppiminen – ei suinkaan ohjaaminen!</w:t>
      </w:r>
    </w:p>
    <w:p w:rsidR="00000000" w:rsidDel="00000000" w:rsidP="00000000" w:rsidRDefault="00000000" w:rsidRPr="00000000" w14:paraId="0000001B">
      <w:pPr>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1C">
      <w:pPr>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1D">
      <w:pPr>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Koska asiat harvoin menevät juuri suunnitelmien mukaan, muista jättää suunnitelmiisi riittävästi </w:t>
      </w:r>
      <w:r w:rsidDel="00000000" w:rsidR="00000000" w:rsidRPr="00000000">
        <w:rPr>
          <w:rFonts w:ascii="Roboto Light" w:cs="Roboto Light" w:eastAsia="Roboto Light" w:hAnsi="Roboto Light"/>
          <w:sz w:val="22"/>
          <w:szCs w:val="22"/>
          <w:rtl w:val="0"/>
        </w:rPr>
        <w:t xml:space="preserve">vaihtoehtoja ja liikkumavaraa, eli takataskusta pitäisi aina löytyä se varasuunnitelma.</w:t>
      </w:r>
    </w:p>
    <w:sectPr>
      <w:footerReference r:id="rId7" w:type="default"/>
      <w:pgSz w:h="16838" w:w="11906" w:orient="portrait"/>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Lucida Casu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tter Black">
    <w:embedBold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ucida Casual" w:cs="Lucida Casual" w:eastAsia="Lucida Casual" w:hAnsi="Lucida Casual"/>
        <w:b w:val="0"/>
        <w:i w:val="0"/>
        <w:smallCaps w:val="0"/>
        <w:strike w:val="0"/>
        <w:color w:val="000000"/>
        <w:sz w:val="20"/>
        <w:szCs w:val="20"/>
        <w:u w:val="none"/>
        <w:shd w:fill="auto" w:val="clear"/>
        <w:vertAlign w:val="baseline"/>
      </w:rPr>
    </w:pPr>
    <w:r w:rsidDel="00000000" w:rsidR="00000000" w:rsidRPr="00000000">
      <w:rPr>
        <w:rFonts w:ascii="Lucida Casual" w:cs="Lucida Casual" w:eastAsia="Lucida Casual" w:hAnsi="Lucida Casual"/>
        <w:b w:val="0"/>
        <w:i w:val="0"/>
        <w:smallCaps w:val="0"/>
        <w:strike w:val="0"/>
        <w:color w:val="000000"/>
        <w:sz w:val="20"/>
        <w:szCs w:val="20"/>
        <w:u w:val="none"/>
        <w:shd w:fill="auto" w:val="clear"/>
        <w:vertAlign w:val="baseline"/>
      </w:rPr>
      <w:drawing>
        <wp:inline distB="0" distT="0" distL="0" distR="0">
          <wp:extent cx="1112520" cy="541020"/>
          <wp:effectExtent b="0" l="0" r="0" t="0"/>
          <wp:docPr descr="C:\Users\19092022\Documents\Logot ja asiakirjapohjat\Uusi logo NS\nuorisoseurat_logo_musta net.jpg" id="4" name="image1.jpg"/>
          <a:graphic>
            <a:graphicData uri="http://schemas.openxmlformats.org/drawingml/2006/picture">
              <pic:pic>
                <pic:nvPicPr>
                  <pic:cNvPr descr="C:\Users\19092022\Documents\Logot ja asiakirjapohjat\Uusi logo NS\nuorisoseurat_logo_musta net.jpg" id="0" name="image1.jpg"/>
                  <pic:cNvPicPr preferRelativeResize="0"/>
                </pic:nvPicPr>
                <pic:blipFill>
                  <a:blip r:embed="rId1"/>
                  <a:srcRect b="0" l="0" r="0" t="0"/>
                  <a:stretch>
                    <a:fillRect/>
                  </a:stretch>
                </pic:blipFill>
                <pic:spPr>
                  <a:xfrm>
                    <a:off x="0" y="0"/>
                    <a:ext cx="1112520" cy="54102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lang w:val="fi-F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line="360" w:lineRule="auto"/>
      <w:jc w:val="both"/>
    </w:pPr>
    <w:rPr>
      <w:sz w:val="24"/>
      <w:szCs w:val="24"/>
    </w:rPr>
  </w:style>
  <w:style w:type="paragraph" w:styleId="Heading2">
    <w:name w:val="heading 2"/>
    <w:basedOn w:val="Normal"/>
    <w:next w:val="Normal"/>
    <w:pPr>
      <w:keepNext w:val="1"/>
      <w:widowControl w:val="0"/>
      <w:spacing w:line="360" w:lineRule="auto"/>
      <w:ind w:left="357" w:hanging="357"/>
      <w:jc w:val="both"/>
    </w:pPr>
    <w:rPr>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ali" w:default="1">
    <w:name w:val="Normal"/>
    <w:qFormat w:val="1"/>
    <w:rPr>
      <w:rFonts w:ascii="Garamond" w:hAnsi="Garamond"/>
      <w:lang w:val="en-GB"/>
    </w:rPr>
  </w:style>
  <w:style w:type="paragraph" w:styleId="Otsikko1">
    <w:name w:val="heading 1"/>
    <w:basedOn w:val="Normaali"/>
    <w:next w:val="Normaali"/>
    <w:qFormat w:val="1"/>
    <w:pPr>
      <w:keepNext w:val="1"/>
      <w:widowControl w:val="0"/>
      <w:spacing w:line="360" w:lineRule="auto"/>
      <w:jc w:val="both"/>
      <w:outlineLvl w:val="0"/>
    </w:pPr>
    <w:rPr>
      <w:sz w:val="24"/>
      <w:lang w:val="en-AU"/>
    </w:rPr>
  </w:style>
  <w:style w:type="paragraph" w:styleId="Otsikko2">
    <w:name w:val="heading 2"/>
    <w:basedOn w:val="Normaali"/>
    <w:next w:val="Normaali"/>
    <w:qFormat w:val="1"/>
    <w:pPr>
      <w:keepNext w:val="1"/>
      <w:widowControl w:val="0"/>
      <w:numPr>
        <w:numId w:val="1"/>
      </w:numPr>
      <w:spacing w:line="360" w:lineRule="auto"/>
      <w:ind w:left="357" w:hanging="357"/>
      <w:jc w:val="both"/>
      <w:outlineLvl w:val="1"/>
    </w:pPr>
    <w:rPr>
      <w:sz w:val="24"/>
      <w:lang w:val="en-AU"/>
    </w:rPr>
  </w:style>
  <w:style w:type="character" w:styleId="Kappaleenoletusfontti" w:default="1">
    <w:name w:val="Default Paragraph Font"/>
    <w:semiHidden w:val="1"/>
  </w:style>
  <w:style w:type="table" w:styleId="Normaalitaulukko" w:default="1">
    <w:name w:val="Normal Table"/>
    <w:uiPriority w:val="99"/>
    <w:semiHidden w:val="1"/>
    <w:unhideWhenUsed w:val="1"/>
    <w:tblPr>
      <w:tblInd w:w="0.0" w:type="dxa"/>
      <w:tblCellMar>
        <w:top w:w="0.0" w:type="dxa"/>
        <w:left w:w="108.0" w:type="dxa"/>
        <w:bottom w:w="0.0" w:type="dxa"/>
        <w:right w:w="108.0" w:type="dxa"/>
      </w:tblCellMar>
    </w:tblPr>
  </w:style>
  <w:style w:type="numbering" w:styleId="Eiluetteloa" w:default="1">
    <w:name w:val="No List"/>
    <w:uiPriority w:val="99"/>
    <w:semiHidden w:val="1"/>
    <w:unhideWhenUsed w:val="1"/>
  </w:style>
  <w:style w:type="paragraph" w:styleId="Sisennettyleipteksti2">
    <w:name w:val="Body Text Indent 2"/>
    <w:aliases w:val="Sitaatti"/>
    <w:basedOn w:val="Normaali"/>
    <w:next w:val="Normaali"/>
    <w:semiHidden w:val="1"/>
    <w:pPr>
      <w:widowControl w:val="0"/>
      <w:ind w:left="851"/>
      <w:jc w:val="both"/>
    </w:pPr>
    <w:rPr>
      <w:sz w:val="24"/>
      <w:lang w:val="en-AU"/>
    </w:rPr>
  </w:style>
  <w:style w:type="paragraph" w:styleId="Alaviitteenteksti">
    <w:name w:val="footnote text"/>
    <w:basedOn w:val="Normaali"/>
    <w:semiHidden w:val="1"/>
    <w:pPr>
      <w:widowControl w:val="0"/>
      <w:jc w:val="both"/>
    </w:pPr>
    <w:rPr>
      <w:lang w:val="en-AU"/>
    </w:rPr>
  </w:style>
  <w:style w:type="character" w:styleId="Alaviitteenviite">
    <w:name w:val="footnote reference"/>
    <w:basedOn w:val="Kappaleenoletusfontti"/>
    <w:semiHidden w:val="1"/>
    <w:rPr>
      <w:vertAlign w:val="superscript"/>
    </w:rPr>
  </w:style>
  <w:style w:type="paragraph" w:styleId="Leipteksti">
    <w:name w:val="Body Text"/>
    <w:basedOn w:val="Normaali"/>
    <w:semiHidden w:val="1"/>
    <w:rPr>
      <w:rFonts w:ascii="Helvetica" w:hAnsi="Helvetica"/>
      <w:sz w:val="24"/>
    </w:rPr>
  </w:style>
  <w:style w:type="paragraph" w:styleId="Yltunniste">
    <w:name w:val="header"/>
    <w:basedOn w:val="Normaali"/>
    <w:semiHidden w:val="1"/>
    <w:pPr>
      <w:tabs>
        <w:tab w:val="center" w:pos="4819"/>
        <w:tab w:val="right" w:pos="9638"/>
      </w:tabs>
    </w:pPr>
  </w:style>
  <w:style w:type="paragraph" w:styleId="Alatunniste">
    <w:name w:val="footer"/>
    <w:basedOn w:val="Normaali"/>
    <w:link w:val="AlatunnisteChar"/>
    <w:pPr>
      <w:tabs>
        <w:tab w:val="center" w:pos="4819"/>
        <w:tab w:val="right" w:pos="9638"/>
      </w:tabs>
    </w:pPr>
  </w:style>
  <w:style w:type="character" w:styleId="AlatunnisteChar" w:customStyle="1">
    <w:name w:val="Alatunniste Char"/>
    <w:basedOn w:val="Kappaleenoletusfontti"/>
    <w:link w:val="Alatunniste"/>
    <w:rsid w:val="006A74D2"/>
    <w:rPr>
      <w:rFonts w:ascii="Garamond" w:hAnsi="Garamond"/>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NotoSansSymbols-regular.ttf"/><Relationship Id="rId10" Type="http://schemas.openxmlformats.org/officeDocument/2006/relationships/font" Target="fonts/RobotoLight-boldItalic.ttf"/><Relationship Id="rId12" Type="http://schemas.openxmlformats.org/officeDocument/2006/relationships/font" Target="fonts/NotoSansSymbols-bold.ttf"/><Relationship Id="rId9" Type="http://schemas.openxmlformats.org/officeDocument/2006/relationships/font" Target="fonts/RobotoLight-italic.ttf"/><Relationship Id="rId5" Type="http://schemas.openxmlformats.org/officeDocument/2006/relationships/font" Target="fonts/BitterBlack-bold.ttf"/><Relationship Id="rId6" Type="http://schemas.openxmlformats.org/officeDocument/2006/relationships/font" Target="fonts/BitterBlack-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08cd0giz9SRCf2q+CNi/6SUatWA==">AMUW2mUKNUu5RrvmZ6dkyyBbOnqCAqjWl3GBSoiipq6abQ29eM0pCvfJrcVMlbHi0Oay/1CKEM7GG61S+fMa/Dn0dKWnsXc3RmtcpOU6pw2A/Jb9CINeSEEgtI3bHjiVjOcKYOTQjlHu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2022-12-13T13:10:00Z</dcterms:created>
  <dc:creator>KNOPPI-työryhmä</dc:creator>
</cp:coreProperties>
</file>